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2024/194 vom 27. März 2025</w:t>
      </w:r>
    </w:p>
    <w:p>
      <w:r>
        <w:t>Sg Versicherungsgericht, 2025-03-27, DE</w:t>
      </w:r>
    </w:p>
    <w:p>
      <w:r>
        <w:rPr>
          <w:b/>
        </w:rPr>
        <w:t xml:space="preserve">Quelle: </w:t>
      </w:r>
      <w:r>
        <w:t>https://mcp.opencaselaw.ch/entscheid/sg_publikationen_IV 2024_194</w:t>
      </w:r>
    </w:p>
    <w:p>
      <w:r>
        <w:t>FR: SG_VERSICHERUNGSGERICHT IV 2024/194 du 27 mars 2025</w:t>
      </w:r>
    </w:p>
    <w:p>
      <w:r>
        <w:t>IT: SG_VERSICHERUNGSGERICHT IV 2024/194 del 27 marzo 2025</w:t>
      </w:r>
    </w:p>
    <w:p>
      <w:pPr>
        <w:pStyle w:val="Heading2"/>
      </w:pPr>
      <w:r>
        <w:t>Regeste</w:t>
      </w:r>
    </w:p>
    <w:p>
      <w:r>
        <w:t>Art. 28 IVG. Art. 16 ATSG. Invalidenrente. Würdigung eines Administrativgutachtens (Entscheid des Versicherungsgerichts des Kantons St. Gallen vom 27. März 2025, IV 2024/194).</w:t>
      </w:r>
    </w:p>
    <w:p>
      <w:pPr>
        <w:pStyle w:val="Heading2"/>
      </w:pPr>
      <w:r>
        <w:t>Erwägungen</w:t>
      </w:r>
    </w:p>
    <w:p>
      <w:r>
        <w:rPr>
          <w:b/>
        </w:rPr>
        <w:t>E. 1.1</w:t>
      </w:r>
    </w:p>
    <w:p>
      <w:r>
        <w:t>Da dieses Beschwerdeverfahren die Überprüfung der a ngefochtenen Verfügung auf deren Rechtmässigkeit bezweckt, muss sein Gegenstand jene m des vorangegangenen Verwaltungsverfahrens entsprechen. Dieses hat sichn ach der verbindlichen Abweisung des Begehrens um berufliche Eingliederungsmassnahmen am 6. Juli 20 23 auf die Prüfung des im Februar 2023 eingereichten Rentenbegehrens beschränkt, weshalb a uch in diesem Beschwerdeverfahren ausschliesslich zu prüfen ist, ob der Beschwerdeführer frühestens ab dem 1. August 2023 (vgl. Art. 29 Abs. 1 IVG) einen Anspruch auf eine Rente der Invalidenversicherung gehabt hat.</w:t>
      </w:r>
    </w:p>
    <w:p>
      <w:r>
        <w:rPr>
          <w:b/>
        </w:rPr>
        <w:t>E. 1.2</w:t>
      </w:r>
    </w:p>
    <w:p>
      <w:r>
        <w:t>Bei der im Februar 2023 eingereichten Anmeldung zum Leistungsbezug hat es sich um eine sogenannte Neuanmeldung gehandelt, weshalb das Eint reten darauf das Glaubhaftmachen einer relevanten Sachverhaltsveränderung seit dem 21. Jan uar 2021 vorausgesetzt hat. Der Beschwerdeführer hat diese Hürde gemäss der überzeu genden Aktenwürdigung des RAD -Arztes G.___ mit dem von ihm eingereichten Austrittsberich t der Klinik für Psychiatrie und Psychotherapie Herisau gemeistert. Die Beschwerdegegnerin ist zu Recht auf die Neuanmeldung eingetreten.</w:t>
      </w:r>
    </w:p>
    <w:p>
      <w:r>
        <w:rPr>
          <w:b/>
        </w:rPr>
        <w:t>E. 2</w:t>
      </w:r>
    </w:p>
    <w:p>
      <w:r>
        <w:t>Eine versicherte Person hat gemäss dem Art. 28 Abs. 1 IVG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das Erwerbsein kommen, das die versicherte Person nach dem Eintrit t der Gesundheitsbeeinträchtigung und nach der Durchführung der medizinischen Behandlung und allfälliger Eingliederungsmassnahmen durch eine ihr zumutbare E rwerbstätigkeit bei einer ausgeglichenen IV 2024/194 7/11</w:t>
      </w:r>
    </w:p>
    <w:p>
      <w:r>
        <w:t>Arbeitsmarktlage erzielen könnte, in Beziehung zu jenem Erwerbseinkommen gesetzt, das sie erzielen könnte, wenn sie gesund geblieben wäre.</w:t>
      </w:r>
    </w:p>
    <w:p>
      <w:r>
        <w:rPr>
          <w:b/>
        </w:rPr>
        <w:t>E. 3</w:t>
      </w:r>
    </w:p>
    <w:p>
      <w:r>
        <w:t>Der Beschwerdeführer hat gemäss seinen eigenen Anga ben in seinem Herkunftsland entweder eine Berufsausbildung zum Maschinenschlosser begonnen, a ber nicht abgeschlossen oder aber als ungelernter Maschinenschlosser gearbeitet. Jedenfalls verfügt er über keinen Berufsabschluss. Nach der Einreise in die Schweiz hat er verschiedene Hil fsarbeiten verrichtet. Seine Erwerbsmöglichkeiten auf dem allgemeinen und ausgeglichenen Arbeitsmarkt haben folglich jenen eines typischen Hilfsarbeiters entsprochen, weshalb der s tatistische Zentralwert der Hilfsarbeiterlöhne als Valideneinkommen zu berücksichtigen ist.</w:t>
      </w:r>
    </w:p>
    <w:p>
      <w:r>
        <w:rPr>
          <w:b/>
        </w:rPr>
        <w:t>E. 4.1</w:t>
      </w:r>
    </w:p>
    <w:p>
      <w:r>
        <w:t>Für die Bestimmung des zumutbarerweise erzielbaren Invalideneinkommens ist massgebend, welche Tätigkeiten dem Beschwerdeführer aus medizin ischer Sicht in welchem Umfang zugemutet werden können. Die Beschwerdegegnerin hat zur Beant wortung dieser Frage ein b idisziplinäres Gutachten der Sachverständigen Dres. J.___ und K.__ _ eingeholt. Die Sachverständigen haben den Beschwerdeführer umfassend orthopädisch und psychia trisch untersucht und sie haben die umfangreichen medizinischen Vorakten eingehend gewürdigt. Nichts deutet darauf hin, dass sie eine wesentliche Tatsache übersehen hätten. Der orthopädische Sachverständige Dr. J.___ hat anschaulich aufgezeigt, dass der objektive klinische Befund wei testgehend unauffällig gewesen ist. Seine Schlussfolgerung, körperlich nicht schwer belastend e Tätigkeiten seien dem Beschwerdeführer aus somatischer Sicht uneingeschränkt zumutbar, überzeu gt ohne Weiteres, zumal sie mit den Beurteilungen all jener somatischen Sachverständige n übereinstimmt, die den Beschwerdeführer im Verlauf der Jahre begutachtet haben. Der psychiatrische Sachverständige Dr. K.___ hat sich eingehend mit den subjektiv geklagten Beschwerden, dem von ihm selbst erhobenen objektiven klinischen Befund und den Vorakten befasst. Er hat anschaulich aufgezeigt, dass die geltend gemachten Symptome sowie die Leidenspräsentation teilweise authentisch, teil weise aber auch unecht gewirkt haben. Ihm ist es gelungen, die nicht authentischen Anteile des Beschwerdevortrages und der Beschwerdepräsentation bei der Diagnosestellung und der Stellungnahme zur Arbeitsfähigkeit auszublenden, wofür er auf die Vorarbeit von Dr. F.___ hat abstellen können, der den Beschwerdeführer im Jahr 2020 im Auftrag der Beschwerdegegnerin während eines mehrtägigen statio nären Aufenthaltes mit Ar beitsversuch begutachtet hatte. Auch wenn Dr. K.___ diagnostisch zu leicht anderen Schlussfolgerungen als Dr. F.___ gelangt ist, haben seine Befundschilderung un d sein Arbeitsfähigkeitsattest weitestgehend mit der Befundschilderung und dem Arbeitsfähigkeitsattest von Dr. F.___ übereingestimmt. Damit ist es Dr. K.___ unter anderem gelungen, überzeugend aufzuzeig en, dass das bereits bei der Begutachtung IV 2024/194 8/11</w:t>
      </w:r>
    </w:p>
    <w:p>
      <w:r>
        <w:t>durch Dr. F.___ seit Jahren chronifizierte und im W esentlichen unverändert bestehende Beschwerdebild auch in den Jahren 2020–2024 keine relevante Veränderung erfahren hatte. Lediglich die Schilderungen des Beschwerdeführers waren noch dramatischer ausgefallen, was allerdings gut zum Verlauf in den Jahren 2010–2020 passt. Die Kritik der behandelnden Ärzte weckt keinen Zweifel an der Überzeugungskraft des psychiatrischen Teilgutachtens von Dr. K.___, denn Dr. D.___ und Dr. B.___ hatten den Beschwerdeführer ab dem Jahr 2010 konsequent immer wieder als vollständ ig arbeitsunfähig qualifiziert, obwohl mehrere Gutacht en einen hohen Arbeitsfähigkeitsgrad für leidensadaptierte Tätigkeiten sowie eine massive Be schwerdeverdeutlichung mit aggravatorischen Zügen belegt hatten. Die Behauptung der behandelnde n Ärzte Dres. D.___, I.___ und B.___, der Gesundheitszustand des Beschwerdeführers habe sich seit Januar 2021 nochmals wesentlich verschlechtert, kann nur auf mit einem für den ther apeutischen Behandlungsauftrag typisch en unkritischen Abstellen auf die (aggravierenden) Ang aben des Beschwerdeführers erklärt werden. Ebenfalls nicht überzeugend sind die Ausführungen i m Austrittsbericht der Klinik für Psychiatrie und Psychotherapie H.___. Den Ärzten ist das Gutachten von Dr. F.___ offenkundig bekannt gewesen, da sie darauf verwiesen haben. Dennoch haben sie offen bar alle Angaben des Beschwerdeführers unkritisch für bare Münze genommen, obwohl ihnen do ch aus der Lektüre des Gutachtens von Dr. F.___ hätte bekannt sein müssen, dass die Angaben d es Beschwerdeführers zu einem wesentlichen Anteil nicht authentisch respektive aggravierend gewesen sind. Zusammenfassend finden sich in den Akten keine Hinweise, die Zweifel an der Überzeugun gskraft des bidisziplinären Gutachtens der Sachverständigen Dres. J.___ und K.___ wecken würden. G estützt auf das bidisziplinäre Administrativgutachten steht folglich mit dem erfor derlichen Beweisgrad der überwiegenden Wahrscheinlichkeit fest, dass der Beschwerdeführer für ideal leidensadaptierte Tätig keiten zu 70 Prozent arbeitsfähig gewesen ist.</w:t>
      </w:r>
    </w:p>
    <w:p>
      <w:r>
        <w:rPr>
          <w:b/>
        </w:rPr>
        <w:t>E. 4.2</w:t>
      </w:r>
    </w:p>
    <w:p>
      <w:r>
        <w:t>Als ideal leidensadaptiert haben die Sachverständigen Dres. J.___ und K.___ rein sachbezogene (also keinen Kundenkontakt erfordernde), gut vorstr ukturierte, regelmässige Tätigkeiten ohne einen besonders hohen Zeitdruck und ohne erhöhte Anforder ungen an die emotionale Belastbarkeit qualifiziert, bei denen nur wenig Abstimmungsbedarf mit Vorgesetzten und Kollegen erforderlich ist, keine gefährlichen Maschinen bedient werden müssen, keine besondere Lärmbelastung besteht und keine körperlich schweren Arbeiten verrichtet werden müssen (vgl. IV-act. 261–10). Die Einschränkung bezüglich des Zeitdrucks ist natürlich nicht so zu verstehen, dass der Beschwerdeführer ohne jeden Zeitdruck arbeiten können müsste; der Zeitdruck dar f lediglich nicht besonders, also überdurchschnittlich hoch sein. Die Behauptung des Rechtsvertreters des Beschwerdeführers, mit dem von den Sachverständigen definierten Belastungsprofil sei eine Tätigkeit in einem geschützten Rahmen beschrieben worden, überzeugt nicht, denn der erste Arbeitsmarkt bietet nach der allgemeinen Lebenserfahrung behinderungsadaptierte Arbeitsstell en für Hilfsarbeiter. Die einzige Besonderheit dieses Belastungsprofils besteht darin, dass möglichst wenig Kontakt zu Mitarbeitern, Vorgesetzten und IV 2024/194 9/11</w:t>
      </w:r>
    </w:p>
    <w:p>
      <w:r>
        <w:t>Kunden empfohlen worden ist, was aber gerade bei seriellen Tätigkeiten („am Förderband“) typisch und keineswegs ungewöhnlich ist. Auf dem allgemeinen un d ausgeglichenen Arbeitsmarkt existiert eine Vielzahl von geeigneten Hilfsarbeiten, die dem Beschwerdeführer zumutbar sind.</w:t>
      </w:r>
    </w:p>
    <w:p>
      <w:r>
        <w:rPr>
          <w:b/>
        </w:rPr>
        <w:t>E. 4.3</w:t>
      </w:r>
    </w:p>
    <w:p>
      <w:r>
        <w:t>Da der Ausgangswert des zumutbarerweise erzielbaren Invalideneinkommens dem statistischen Zentralwert der Hilfsarbeiterlöhne und damit dem Valideneinkommen entspricht, kann sein Betrag bei der Berechnung des Invaliditätsgrades mathematisch keine Rolle spielen. Der Invaliditätsgrad entspricht grundsätzlich dem Arbeitsunfähigkeitsgra d. Allerdings kann aus dem Umstand, dass der allgemeine und ausgeglichene Arbeitsmarkt leidensad aptierte Tätigkeiten bereit hält, nicht abgeleitet werden, dass der Beschwerdeführer an einer solchen Arbeitsstelle einen dem statistischen Zentralwert entsprechenden Lohn erzielen könnte. Deshalb muss b ei der Berechnung des Invaliditätsgrades die Berücksichtigung eines dem sogenannten Tabellenlohnabzug analogen Abzuges geprüft werden.N ach der ständigen Praxis der Abteilung II des St. Galle r Versicherungsgerichtes ist ein solcher Abzug zu berücksichtigen, wenn davon ausgegangen werden muss , dass die versicherte Person ihre Arbeitsfähigkeit nicht mit demselben ökonomischen Erfolg verwerten kann wie eine gesunde, im selben Pensum tätige Person, das heisst wenn anzunehmen is t, dass ein strikt ökonomisch - betriebswirtschaftlich denkender, also keinen Sozia llohn ausrichtender Arbeitgeber der versicherten Person keinen durchschnittlichen, sondern nur einen unterdurchschnittlichen Lohn ausbezahlen würde, um seinen aus der Anstellung der versicherten Person resultierenden „Arbeitsmehrwert“ – die Differenz zwischen dem ökonomischen Wert der Arbeitsleistung und den direkten und indirekten Lohn - und Lohnnebenkosten – auf einen durchschnittlichen Betrag zu erhöhen. In Bezug auf den Beschwerdeführer fallen diesbezüglich insbesondere die depressionsbedingt typische überdurchschnittlich starke Schwankung der Arbeitsl eistung sowie das Risiko überdurchschnittlich häufiger krankheitsbedingter Absenzen in Betracht. D iese fallen angesichts des eher hohen Arbeitsunfähigkeitsgrades allerdings nicht allzu st ark ins Gewicht, weshalb der von der Beschwerdegegnerin vorgenommene Abzug von zehn Proz ent korrekt ist (vgl. den Entscheid IV 2021/26 des St. Galler Versicherungsgerichtes vom 3 . März 2022, E. 2.5). Bei einem Arbeitsunfähigkeitsgrad von 30 Prozent und einem Tabellenlohnabzug von zehn Prozent ergibt sich ein nicht rentenbegründender Invaliditätsgrad von 37 Prozent (= 100% – 90% × 70%). Die angefochtene Verfügung ist folglich rechtmässig, weshalb die Beschwerde abzuweisen ist.</w:t>
      </w:r>
    </w:p>
    <w:p>
      <w:r>
        <w:rPr>
          <w:b/>
        </w:rPr>
        <w:t>E. 5</w:t>
      </w:r>
    </w:p>
    <w:p>
      <w:r>
        <w:t>Zufolge der Bewilligung der unentgeltlichen Prozessführung ist der Beschwerdeführer von der Pflicht, die angesichts des durchschnittlichen Verfahrensauf wandes praxisgemäss auf 600 Franken festzusetzenden Gerichtskosten zu bezahlen, vorläuf ig befreit. Da ihm auch die unentgeltliche Rechtsverbeiständung bewilligt worden ist, hat sein Rechtsvertreter einen Anspruch auf eine Entschädigung, die 80 Prozent des erforderlichen Ve rtretungsaufwandes abdeckt (Art. 31 Abs. 3 IV 2024/194 10/11</w:t>
      </w:r>
    </w:p>
    <w:p>
      <w:r>
        <w:t>AnwG). Der erforderliche Vertretungsaufwand ist als durchschnittlich zu qualifizieren. Die Entschädigung wird deshalb auf 80 Prozent von 4’000 Franken, also auf 3’200 Franken, festgesetzt. Sollten es seine wirtschaftlichen Verhältnisse dere inst gestatten, wird der Beschwerdeführer zur Nachzahlung der Gerichtskosten und zur Rückerstattu ng der Entschädigung für die unentgeltliche Rechtsverbeiständung verpflichtet werden können (Art. 99 Abs. 2 VRP i.V.m. Art. 123 ZPO). Entscheid im Zirkulationsverfahren gemäss Art. 39 VRP 1. Die Beschwerde wird abgewiesen. 2. Der Beschwerdeführer ist von der Pflicht, die Geric htskosten von 600 Franken zu bezahlen, vorläufig befreit. 3. Der Staat hat den Rechtsvertreter des Beschwerdefüh rers mit 3’200 Franken (einschliesslich Barauslagen und Mehrwertsteuer) zu entschädigen. IV 2024/194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